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01CED" w14:textId="77777777" w:rsidR="00D627F3" w:rsidRDefault="00D627F3" w:rsidP="00D627F3">
      <w:pPr>
        <w:pStyle w:val="Red-Title"/>
        <w:rPr>
          <w:sz w:val="52"/>
          <w:szCs w:val="52"/>
        </w:rPr>
      </w:pPr>
      <w:r>
        <w:t>The Greater Need</w:t>
      </w:r>
      <w:r>
        <w:rPr>
          <w:rFonts w:ascii="Arial Unicode MS" w:eastAsia="Arial Unicode MS" w:hAnsi="Arial Unicode MS" w:cs="Arial Unicode MS"/>
          <w:bCs w:val="0"/>
          <w:sz w:val="52"/>
          <w:szCs w:val="52"/>
        </w:rPr>
        <w:br/>
      </w:r>
      <w:r>
        <w:rPr>
          <w:sz w:val="52"/>
          <w:szCs w:val="52"/>
        </w:rPr>
        <w:t>—</w:t>
      </w:r>
      <w:r>
        <w:rPr>
          <w:rFonts w:ascii="MingLiU" w:eastAsia="MingLiU" w:hAnsi="MingLiU" w:cs="MingLiU"/>
          <w:sz w:val="52"/>
          <w:szCs w:val="52"/>
        </w:rPr>
        <w:br/>
      </w:r>
      <w:r>
        <w:rPr>
          <w:sz w:val="28"/>
          <w:szCs w:val="28"/>
        </w:rPr>
        <w:t>Affirmative Case by Kylie McIntosh</w:t>
      </w:r>
    </w:p>
    <w:p w14:paraId="7F12563C" w14:textId="77777777" w:rsidR="00D627F3" w:rsidRDefault="00D627F3" w:rsidP="00D627F3">
      <w:pPr>
        <w:pStyle w:val="Red-Summary"/>
        <w:rPr>
          <w:b/>
          <w:bCs w:val="0"/>
        </w:rPr>
      </w:pPr>
      <w:r>
        <w:rPr>
          <w:b/>
        </w:rPr>
        <w:t>Summary</w:t>
      </w:r>
    </w:p>
    <w:p w14:paraId="2B7FA1C1" w14:textId="2CDB94D0" w:rsidR="00D627F3" w:rsidRDefault="008162EB" w:rsidP="008162EB">
      <w:pPr>
        <w:pStyle w:val="Red-Summary"/>
      </w:pPr>
      <w:r>
        <w:t xml:space="preserve">This case focuses on the </w:t>
      </w:r>
      <w:r w:rsidR="00D627F3">
        <w:t>definition of “need</w:t>
      </w:r>
      <w:r>
        <w:t>s,</w:t>
      </w:r>
      <w:r w:rsidR="00D627F3">
        <w:t xml:space="preserve">” </w:t>
      </w:r>
      <w:r>
        <w:t xml:space="preserve">particularly </w:t>
      </w:r>
      <w:r w:rsidR="00D627F3">
        <w:t xml:space="preserve">the distinction between how it is defined and how the Negative may portray it to </w:t>
      </w:r>
      <w:r>
        <w:t>be</w:t>
      </w:r>
      <w:r w:rsidR="00D627F3">
        <w:t xml:space="preserve">. Do not let the Negative twist “need” to mean something that is not a basic human right. The public may </w:t>
      </w:r>
      <w:r w:rsidR="00D627F3">
        <w:rPr>
          <w:i/>
          <w:iCs/>
        </w:rPr>
        <w:t xml:space="preserve">want </w:t>
      </w:r>
      <w:r w:rsidR="00D627F3">
        <w:t>a new park, but that is no reason to destroy someone’s home via eminent do</w:t>
      </w:r>
      <w:r w:rsidR="00FB3BA8">
        <w:t>main so you can build one in it</w:t>
      </w:r>
      <w:r w:rsidR="00D627F3">
        <w:t xml:space="preserve">s place. You can agree with that and still fulfill your burden under this definition. </w:t>
      </w:r>
    </w:p>
    <w:p w14:paraId="5A6D4174" w14:textId="7B843D37" w:rsidR="00D627F3" w:rsidRDefault="00D627F3" w:rsidP="00D627F3">
      <w:pPr>
        <w:pStyle w:val="Red-Summary"/>
      </w:pPr>
      <w:r>
        <w:t>Private property rights include the ability to do harm. Just as I can use my right to speech to throw around slurs and vulgarities, some can and will use their right to private property to disguise criminal activity. It is imperative you prove this for the given applications to apply. I</w:t>
      </w:r>
      <w:r w:rsidR="00FB3BA8">
        <w:t>f neither side could do harm</w:t>
      </w:r>
      <w:r>
        <w:t xml:space="preserve">, there would be no </w:t>
      </w:r>
      <w:r w:rsidR="00FB3BA8">
        <w:t xml:space="preserve">debate. It is fair to say if no </w:t>
      </w:r>
      <w:r>
        <w:t>one can use their private property rights to ai</w:t>
      </w:r>
      <w:r w:rsidR="00FB3BA8">
        <w:t xml:space="preserve">d their ability to harm, then no </w:t>
      </w:r>
      <w:r>
        <w:t>one can use the excuse of public need to do harm</w:t>
      </w:r>
      <w:r w:rsidR="00FB3BA8">
        <w:t xml:space="preserve">. In other words, </w:t>
      </w:r>
      <w:r>
        <w:t>if there’s “neve</w:t>
      </w:r>
      <w:r w:rsidR="00FB3BA8">
        <w:t>r a (private) right to harm” the</w:t>
      </w:r>
      <w:r>
        <w:t xml:space="preserve">n there’s also “never a (public) need to harm” and we can all pack up our binders and go to lunch. </w:t>
      </w:r>
    </w:p>
    <w:p w14:paraId="2C74DEE7" w14:textId="4611FB60" w:rsidR="00D627F3" w:rsidRDefault="00D627F3" w:rsidP="00D627F3">
      <w:pPr>
        <w:pStyle w:val="Red-Summary"/>
      </w:pPr>
      <w:r>
        <w:t xml:space="preserve">Public needs (basic rights) supersede private property rights (property rights </w:t>
      </w:r>
      <w:r>
        <w:rPr>
          <w:i/>
          <w:iCs/>
        </w:rPr>
        <w:t xml:space="preserve">not </w:t>
      </w:r>
      <w:r>
        <w:t xml:space="preserve">being basic rights). These all contribute back to the value of Human Rights. It may do some good to remind the judge in the rebuttals you can’t own property if you are enslaved or deceased. Basic rights are fundamental - no other rights can exist without them. Our goal as a society should be </w:t>
      </w:r>
      <w:r w:rsidR="00FB3BA8">
        <w:t xml:space="preserve">to </w:t>
      </w:r>
      <w:r>
        <w:t>give everyone those basic rights to life, libe</w:t>
      </w:r>
      <w:r w:rsidR="00FB3BA8">
        <w:t xml:space="preserve">rty, and pursuit of happiness — </w:t>
      </w:r>
      <w:r>
        <w:t>not just give a privileged few their right to property and let the public suffer for it. A good example of this is the slave owners in pre-Civil War America.</w:t>
      </w:r>
      <w:r>
        <w:rPr>
          <w:rFonts w:cs="Times New Roman"/>
          <w:bCs w:val="0"/>
          <w:vertAlign w:val="superscript"/>
        </w:rPr>
        <w:footnoteReference w:id="1"/>
      </w:r>
    </w:p>
    <w:p w14:paraId="1A97FCA4" w14:textId="256AE9F6" w:rsidR="00D627F3" w:rsidRDefault="00D627F3" w:rsidP="00D627F3">
      <w:pPr>
        <w:pStyle w:val="Red-Summary"/>
      </w:pPr>
      <w:r>
        <w:t xml:space="preserve">Closing note: Don’t run away with the second subpoint, especially if you are a former TPer. I know its tempting. Don’t let your opponent it, either. It is a way to show public needs do not automatically have to equal government control and </w:t>
      </w:r>
      <w:r>
        <w:rPr>
          <w:i/>
          <w:iCs/>
        </w:rPr>
        <w:t xml:space="preserve">not a policy plan. </w:t>
      </w:r>
      <w:r>
        <w:t>It is not imperative to the case’s logical syllogism and can be cut for time/pref</w:t>
      </w:r>
      <w:r w:rsidR="00FB3BA8">
        <w:t>erence. Keep they focus on “why,” not “how.”</w:t>
      </w:r>
      <w:r>
        <w:t xml:space="preserve"> </w:t>
      </w:r>
    </w:p>
    <w:p w14:paraId="53C3E64F" w14:textId="77777777" w:rsidR="00D627F3" w:rsidRDefault="00D627F3" w:rsidP="00D627F3">
      <w:pPr>
        <w:pStyle w:val="Body"/>
      </w:pPr>
    </w:p>
    <w:p w14:paraId="1D675086" w14:textId="77777777" w:rsidR="00D627F3" w:rsidRDefault="00D627F3" w:rsidP="00D627F3">
      <w:pPr>
        <w:pStyle w:val="Body"/>
      </w:pPr>
    </w:p>
    <w:p w14:paraId="1F88E6C5" w14:textId="77777777" w:rsidR="00D627F3" w:rsidRDefault="00D627F3" w:rsidP="00D627F3">
      <w:pPr>
        <w:pStyle w:val="Body"/>
      </w:pPr>
    </w:p>
    <w:p w14:paraId="6209CEFC" w14:textId="6592FD6A" w:rsidR="00D627F3" w:rsidRPr="00FB3BA8" w:rsidRDefault="00FB3BA8" w:rsidP="00FB3BA8">
      <w:pPr>
        <w:pStyle w:val="Red-Title"/>
        <w:rPr>
          <w:sz w:val="52"/>
          <w:szCs w:val="52"/>
        </w:rPr>
      </w:pPr>
      <w:r>
        <w:lastRenderedPageBreak/>
        <w:t>The Greater Need</w:t>
      </w:r>
    </w:p>
    <w:p w14:paraId="2D5674F6" w14:textId="7BF8AF5C" w:rsidR="00D627F3" w:rsidRDefault="00FB3BA8" w:rsidP="00D627F3">
      <w:pPr>
        <w:pStyle w:val="Body"/>
      </w:pPr>
      <w:r>
        <w:rPr>
          <w:rFonts w:eastAsia="Arial Unicode MS" w:cs="Arial Unicode MS"/>
        </w:rPr>
        <w:t xml:space="preserve">In the month of June </w:t>
      </w:r>
      <w:r w:rsidR="00D627F3">
        <w:rPr>
          <w:rFonts w:eastAsia="Arial Unicode MS" w:cs="Arial Unicode MS"/>
        </w:rPr>
        <w:t>2014</w:t>
      </w:r>
      <w:r>
        <w:rPr>
          <w:rFonts w:eastAsia="Arial Unicode MS" w:cs="Arial Unicode MS"/>
        </w:rPr>
        <w:t>,</w:t>
      </w:r>
      <w:r w:rsidR="00D627F3">
        <w:rPr>
          <w:rFonts w:eastAsia="Arial Unicode MS" w:cs="Arial Unicode MS"/>
        </w:rPr>
        <w:t xml:space="preserve"> three children were found inside a condemned home in Albuquerque living with their grandmother. Nine malnourished dogs were found inside without food or water. There were flies and feces around the house. The house had no running water, no electricity, and some floors were nothing but concrete.</w:t>
      </w:r>
      <w:r w:rsidR="00D627F3">
        <w:rPr>
          <w:vertAlign w:val="superscript"/>
        </w:rPr>
        <w:footnoteReference w:id="2"/>
      </w:r>
      <w:r w:rsidR="00D627F3">
        <w:rPr>
          <w:rFonts w:eastAsia="Arial Unicode MS" w:cs="Arial Unicode MS"/>
        </w:rPr>
        <w:t xml:space="preserve"> For the safety and prosperity of both the public and the children taken from the home, the house was take</w:t>
      </w:r>
      <w:r>
        <w:rPr>
          <w:rFonts w:eastAsia="Arial Unicode MS" w:cs="Arial Unicode MS"/>
        </w:rPr>
        <w:t>n</w:t>
      </w:r>
      <w:r w:rsidR="00D627F3">
        <w:rPr>
          <w:rFonts w:eastAsia="Arial Unicode MS" w:cs="Arial Unicode MS"/>
        </w:rPr>
        <w:t xml:space="preserve"> by the government and the grandmother was put under arrest.</w:t>
      </w:r>
    </w:p>
    <w:p w14:paraId="68D1CBEB" w14:textId="0E6C5C2E" w:rsidR="00D627F3" w:rsidRDefault="00D627F3" w:rsidP="00D627F3">
      <w:pPr>
        <w:pStyle w:val="Body"/>
      </w:pPr>
      <w:r>
        <w:rPr>
          <w:rFonts w:eastAsia="Arial Unicode MS" w:cs="Arial Unicode MS"/>
        </w:rPr>
        <w:t>In Minnesota in 2012, a report was released by the Minnesota Office of Justice Program reported they were having difficult</w:t>
      </w:r>
      <w:r w:rsidR="00FB3BA8">
        <w:rPr>
          <w:rFonts w:eastAsia="Arial Unicode MS" w:cs="Arial Unicode MS"/>
        </w:rPr>
        <w:t>y</w:t>
      </w:r>
      <w:r>
        <w:rPr>
          <w:rFonts w:eastAsia="Arial Unicode MS" w:cs="Arial Unicode MS"/>
        </w:rPr>
        <w:t xml:space="preserve"> rescuing victims of human trafficking because they could not enter private property easily.</w:t>
      </w:r>
      <w:r>
        <w:rPr>
          <w:vertAlign w:val="superscript"/>
        </w:rPr>
        <w:footnoteReference w:id="3"/>
      </w:r>
    </w:p>
    <w:p w14:paraId="5388EC4F" w14:textId="6E18F8A5" w:rsidR="00D627F3" w:rsidRDefault="00D627F3" w:rsidP="00D627F3">
      <w:pPr>
        <w:pStyle w:val="Body"/>
      </w:pPr>
      <w:r>
        <w:rPr>
          <w:rFonts w:eastAsia="Arial Unicode MS" w:cs="Arial Unicode MS"/>
        </w:rPr>
        <w:t>Currently, schools are fighting for the ability to search student’s lockers, person</w:t>
      </w:r>
      <w:r w:rsidR="00FB3BA8">
        <w:rPr>
          <w:rFonts w:eastAsia="Arial Unicode MS" w:cs="Arial Unicode MS"/>
        </w:rPr>
        <w:t>s</w:t>
      </w:r>
      <w:r>
        <w:rPr>
          <w:rFonts w:eastAsia="Arial Unicode MS" w:cs="Arial Unicode MS"/>
        </w:rPr>
        <w:t>, and possessions for potential drugs because of the student’s right to private property. The vagueness of the term “reasonable suspicion” leaves school with less power to combat the accessibility of illegal, destructive, and potentially lethal substances to young children.</w:t>
      </w:r>
      <w:r>
        <w:rPr>
          <w:vertAlign w:val="superscript"/>
        </w:rPr>
        <w:footnoteReference w:id="4"/>
      </w:r>
    </w:p>
    <w:p w14:paraId="46DE68CB" w14:textId="77777777" w:rsidR="00D627F3" w:rsidRDefault="00D627F3" w:rsidP="00D627F3">
      <w:pPr>
        <w:pStyle w:val="Body"/>
      </w:pPr>
      <w:r>
        <w:rPr>
          <w:rFonts w:eastAsia="Arial Unicode MS" w:cs="Arial Unicode MS"/>
        </w:rPr>
        <w:t>There is a common theme in all of these examples: exceptions must be made to private property rights in order to keep people safe, happy, and alive.</w:t>
      </w:r>
    </w:p>
    <w:p w14:paraId="5D670245" w14:textId="79049365" w:rsidR="00D627F3" w:rsidRDefault="00FB3BA8" w:rsidP="00D627F3">
      <w:pPr>
        <w:pStyle w:val="Heading"/>
      </w:pPr>
      <w:r>
        <w:t>Definitions</w:t>
      </w:r>
    </w:p>
    <w:p w14:paraId="53CEF8B1" w14:textId="77777777" w:rsidR="00D627F3" w:rsidRDefault="00D627F3" w:rsidP="00D627F3">
      <w:pPr>
        <w:pStyle w:val="Body"/>
      </w:pPr>
      <w:r>
        <w:rPr>
          <w:rFonts w:eastAsia="Arial Unicode MS" w:cs="Arial Unicode MS"/>
          <w:b/>
          <w:bCs/>
        </w:rPr>
        <w:t>Needs</w:t>
      </w:r>
      <w:r>
        <w:rPr>
          <w:rFonts w:eastAsia="Arial Unicode MS" w:cs="Arial Unicode MS"/>
        </w:rPr>
        <w:t>: Basic human rights, including but not exclusive to life, ownership and autonomy of self, food, and water.</w:t>
      </w:r>
    </w:p>
    <w:p w14:paraId="46278028" w14:textId="77777777" w:rsidR="00D627F3" w:rsidRDefault="00D627F3" w:rsidP="00D627F3">
      <w:pPr>
        <w:pStyle w:val="Body"/>
      </w:pPr>
      <w:r>
        <w:rPr>
          <w:rFonts w:eastAsia="Arial Unicode MS" w:cs="Arial Unicode MS"/>
          <w:b/>
          <w:bCs/>
        </w:rPr>
        <w:t>Public: “</w:t>
      </w:r>
      <w:r>
        <w:rPr>
          <w:rFonts w:eastAsia="Arial Unicode MS" w:cs="Arial Unicode MS"/>
        </w:rPr>
        <w:t>Ordinary people in general; the community.”</w:t>
      </w:r>
      <w:r>
        <w:rPr>
          <w:vertAlign w:val="superscript"/>
        </w:rPr>
        <w:footnoteReference w:id="5"/>
      </w:r>
    </w:p>
    <w:p w14:paraId="746C60E9" w14:textId="77777777" w:rsidR="00D627F3" w:rsidRDefault="00D627F3" w:rsidP="00D627F3">
      <w:pPr>
        <w:pStyle w:val="Body"/>
        <w:rPr>
          <w:b/>
          <w:bCs/>
        </w:rPr>
      </w:pPr>
      <w:r>
        <w:rPr>
          <w:b/>
          <w:bCs/>
        </w:rPr>
        <w:t xml:space="preserve">Private property rights: </w:t>
      </w:r>
      <w:r>
        <w:t>An individual’s right to own and control possessions and who has access to them.</w:t>
      </w:r>
    </w:p>
    <w:p w14:paraId="7CCEB770" w14:textId="77777777" w:rsidR="00D627F3" w:rsidRDefault="00D627F3" w:rsidP="00D627F3">
      <w:pPr>
        <w:pStyle w:val="Heading"/>
      </w:pPr>
      <w:r>
        <w:lastRenderedPageBreak/>
        <w:t>Resolution Analysis</w:t>
      </w:r>
    </w:p>
    <w:p w14:paraId="21603A00" w14:textId="7EACACED" w:rsidR="00D627F3" w:rsidRDefault="00D627F3" w:rsidP="00D627F3">
      <w:pPr>
        <w:pStyle w:val="Body"/>
      </w:pPr>
      <w:r>
        <w:rPr>
          <w:rFonts w:eastAsia="Arial Unicode MS" w:cs="Arial Unicode MS"/>
        </w:rPr>
        <w:t xml:space="preserve">Most of the time, it is in the interest of the public for all the individuals within that community to have the right to property. This is not an all-or-nothing question; private property rights and a prosperous community can and should coexist.  When they do coexist, there is no reason for debate, everything is fine and no decision needs to </w:t>
      </w:r>
      <w:r w:rsidR="00FB3BA8">
        <w:rPr>
          <w:rFonts w:eastAsia="Arial Unicode MS" w:cs="Arial Unicode MS"/>
        </w:rPr>
        <w:t xml:space="preserve">be </w:t>
      </w:r>
      <w:r>
        <w:rPr>
          <w:rFonts w:eastAsia="Arial Unicode MS" w:cs="Arial Unicode MS"/>
        </w:rPr>
        <w:t>made. It is when they come into conflict we begin to question what perspective on val</w:t>
      </w:r>
      <w:r w:rsidR="00FB3BA8">
        <w:rPr>
          <w:rFonts w:eastAsia="Arial Unicode MS" w:cs="Arial Unicode MS"/>
        </w:rPr>
        <w:t>ues and rights should we change.</w:t>
      </w:r>
      <w:r>
        <w:rPr>
          <w:rFonts w:eastAsia="Arial Unicode MS" w:cs="Arial Unicode MS"/>
        </w:rPr>
        <w:t xml:space="preserve"> It is my job to prove when these two do conflict, and people’s basic needs should supersede property rights.</w:t>
      </w:r>
    </w:p>
    <w:p w14:paraId="039DE4A6" w14:textId="715E587B" w:rsidR="00D627F3" w:rsidRDefault="00FB3BA8" w:rsidP="00D627F3">
      <w:pPr>
        <w:pStyle w:val="Heading"/>
      </w:pPr>
      <w:r>
        <w:t>Value</w:t>
      </w:r>
      <w:r w:rsidR="00D627F3">
        <w:t>: Human Rights</w:t>
      </w:r>
    </w:p>
    <w:p w14:paraId="11F1BE2F" w14:textId="7660AD03" w:rsidR="00D627F3" w:rsidRDefault="00D627F3" w:rsidP="00FB3BA8">
      <w:pPr>
        <w:pStyle w:val="Body"/>
      </w:pPr>
      <w:r>
        <w:rPr>
          <w:rFonts w:eastAsia="Arial Unicode MS" w:cs="Arial Unicode MS"/>
        </w:rPr>
        <w:t>Human Rights are defined as anything in the Universal Declaration of Human Rights. This is a fair goal for both sides of the debate to try to achieve, since it contains both pr</w:t>
      </w:r>
      <w:r w:rsidR="00FB3BA8">
        <w:rPr>
          <w:rFonts w:eastAsia="Arial Unicode MS" w:cs="Arial Unicode MS"/>
        </w:rPr>
        <w:t>operty rights and public needs.</w:t>
      </w:r>
      <w:r>
        <w:rPr>
          <w:vertAlign w:val="superscript"/>
        </w:rPr>
        <w:footnoteReference w:id="6"/>
      </w:r>
    </w:p>
    <w:p w14:paraId="0219BB56" w14:textId="77777777" w:rsidR="00D627F3" w:rsidRDefault="00D627F3" w:rsidP="00D627F3">
      <w:pPr>
        <w:pStyle w:val="Heading"/>
      </w:pPr>
      <w:r>
        <w:t>Contention: The Needs of the Public Are the Greater Right</w:t>
      </w:r>
    </w:p>
    <w:p w14:paraId="303496CE" w14:textId="77777777" w:rsidR="00D627F3" w:rsidRDefault="00D627F3" w:rsidP="00FB3BA8">
      <w:pPr>
        <w:pStyle w:val="Heading2"/>
      </w:pPr>
      <w:r>
        <w:t>Sub-point One: Necessary Transaction of Rights</w:t>
      </w:r>
    </w:p>
    <w:p w14:paraId="6C8A1807" w14:textId="0608FD67" w:rsidR="00D627F3" w:rsidRDefault="00D627F3" w:rsidP="00D627F3">
      <w:pPr>
        <w:pStyle w:val="Body"/>
      </w:pPr>
      <w:r>
        <w:rPr>
          <w:rFonts w:eastAsia="Arial Unicode MS" w:cs="Arial Unicode MS"/>
        </w:rPr>
        <w:t>Everyone has right</w:t>
      </w:r>
      <w:r w:rsidR="00FB3BA8">
        <w:rPr>
          <w:rFonts w:eastAsia="Arial Unicode MS" w:cs="Arial Unicode MS"/>
        </w:rPr>
        <w:t>s;</w:t>
      </w:r>
      <w:r>
        <w:rPr>
          <w:rFonts w:eastAsia="Arial Unicode MS" w:cs="Arial Unicode MS"/>
        </w:rPr>
        <w:t xml:space="preserve"> however, some right</w:t>
      </w:r>
      <w:r w:rsidR="00FB3BA8">
        <w:rPr>
          <w:rFonts w:eastAsia="Arial Unicode MS" w:cs="Arial Unicode MS"/>
        </w:rPr>
        <w:t>s</w:t>
      </w:r>
      <w:r>
        <w:rPr>
          <w:rFonts w:eastAsia="Arial Unicode MS" w:cs="Arial Unicode MS"/>
        </w:rPr>
        <w:t xml:space="preserve"> supersede others. In class, when a teacher takes away a student’s cell phone they do breach that student’s right to their property at the expense of the rest of the class’s right to education. Phones disrupt and distract </w:t>
      </w:r>
      <w:r w:rsidR="00FB3BA8">
        <w:rPr>
          <w:rFonts w:eastAsia="Arial Unicode MS" w:cs="Arial Unicode MS"/>
        </w:rPr>
        <w:t>in</w:t>
      </w:r>
      <w:r>
        <w:rPr>
          <w:rFonts w:eastAsia="Arial Unicode MS" w:cs="Arial Unicode MS"/>
        </w:rPr>
        <w:t xml:space="preserve"> a classroom. </w:t>
      </w:r>
    </w:p>
    <w:p w14:paraId="08C8C86C" w14:textId="4CBCD79F" w:rsidR="00D627F3" w:rsidRDefault="00D627F3" w:rsidP="00D627F3">
      <w:pPr>
        <w:pStyle w:val="Body"/>
      </w:pPr>
      <w:r>
        <w:rPr>
          <w:rFonts w:eastAsia="Arial Unicode MS" w:cs="Arial Unicode MS"/>
        </w:rPr>
        <w:t>This removal of personal property is okay because although maybe the student is inconvenienced or agitated due to the temporary loss of their possession</w:t>
      </w:r>
      <w:r w:rsidR="00FB3BA8">
        <w:rPr>
          <w:rFonts w:eastAsia="Arial Unicode MS" w:cs="Arial Unicode MS"/>
        </w:rPr>
        <w:t xml:space="preserve">, </w:t>
      </w:r>
      <w:r>
        <w:rPr>
          <w:rFonts w:eastAsia="Arial Unicode MS" w:cs="Arial Unicode MS"/>
        </w:rPr>
        <w:t xml:space="preserve">what is gained in the transaction of rights is far greater than the loss. </w:t>
      </w:r>
    </w:p>
    <w:p w14:paraId="19BD7EB9" w14:textId="77777777" w:rsidR="00D627F3" w:rsidRDefault="00D627F3" w:rsidP="00D627F3">
      <w:pPr>
        <w:pStyle w:val="Body"/>
      </w:pPr>
      <w:r>
        <w:t>This is a very basic, although applicable, example of private property rights being sacrificed for a greater right.</w:t>
      </w:r>
    </w:p>
    <w:p w14:paraId="15B34E7C" w14:textId="03A8CFA6" w:rsidR="00D627F3" w:rsidRDefault="00D627F3" w:rsidP="00D627F3">
      <w:pPr>
        <w:pStyle w:val="Body"/>
      </w:pPr>
      <w:r>
        <w:rPr>
          <w:rFonts w:eastAsia="Arial Unicode MS" w:cs="Arial Unicode MS"/>
        </w:rPr>
        <w:t xml:space="preserve">We call this </w:t>
      </w:r>
      <w:r w:rsidR="00FB3BA8">
        <w:rPr>
          <w:rFonts w:eastAsia="Arial Unicode MS" w:cs="Arial Unicode MS"/>
        </w:rPr>
        <w:t xml:space="preserve">an example of </w:t>
      </w:r>
      <w:r>
        <w:rPr>
          <w:rFonts w:eastAsia="Arial Unicode MS" w:cs="Arial Unicode MS"/>
        </w:rPr>
        <w:t>the Social Contract.</w:t>
      </w:r>
      <w:r>
        <w:rPr>
          <w:vertAlign w:val="superscript"/>
        </w:rPr>
        <w:footnoteReference w:id="7"/>
      </w:r>
      <w:r>
        <w:rPr>
          <w:rFonts w:eastAsia="Arial Unicode MS" w:cs="Arial Unicode MS"/>
        </w:rPr>
        <w:t xml:space="preserve"> We give up some rights to be a part of the community. If we harm the community, we forfeit even more rights because we have betrayed our contract. This contract is the foundation of all communities. I have given up some freedom to be here today. I am adhering to the rules and dress code of Stoa. We have an agreement that when my opponent is speaking, I will not stand up in the middle of their speech and start shouting at them, even though I have the right to freedom of speech. If I break that contract, I am penalized, and I lose the right to compete.</w:t>
      </w:r>
    </w:p>
    <w:p w14:paraId="1AD6A545" w14:textId="77777777" w:rsidR="00D627F3" w:rsidRDefault="00D627F3" w:rsidP="00D627F3">
      <w:pPr>
        <w:pStyle w:val="Body"/>
      </w:pPr>
      <w:r>
        <w:rPr>
          <w:rFonts w:eastAsia="Arial Unicode MS" w:cs="Arial Unicode MS"/>
        </w:rPr>
        <w:lastRenderedPageBreak/>
        <w:t xml:space="preserve">Earlier, I told you about three separate issues in our society. In each one a person’s private property rights are valued less or should be valued less than something the public needs. </w:t>
      </w:r>
    </w:p>
    <w:p w14:paraId="378F00B7" w14:textId="77777777" w:rsidR="00D627F3" w:rsidRDefault="00D627F3" w:rsidP="00D627F3">
      <w:pPr>
        <w:pStyle w:val="Body"/>
      </w:pPr>
      <w:r>
        <w:rPr>
          <w:rFonts w:eastAsia="Arial Unicode MS" w:cs="Arial Unicode MS"/>
        </w:rPr>
        <w:t xml:space="preserve">In the first, those children needed water, food, safety, and good health. The public needed a safe neighborhood. </w:t>
      </w:r>
    </w:p>
    <w:p w14:paraId="041B2C40" w14:textId="0975B25F" w:rsidR="00D627F3" w:rsidRDefault="00D627F3" w:rsidP="00D627F3">
      <w:pPr>
        <w:pStyle w:val="Body"/>
      </w:pPr>
      <w:r>
        <w:rPr>
          <w:rFonts w:eastAsia="Arial Unicode MS" w:cs="Arial Unicode MS"/>
        </w:rPr>
        <w:t xml:space="preserve">In the second, we see how private property rights </w:t>
      </w:r>
      <w:r w:rsidR="003D6584">
        <w:rPr>
          <w:rFonts w:eastAsia="Arial Unicode MS" w:cs="Arial Unicode MS"/>
        </w:rPr>
        <w:t>put victims of human trafficking in further danger. These people had</w:t>
      </w:r>
      <w:r>
        <w:rPr>
          <w:rFonts w:eastAsia="Arial Unicode MS" w:cs="Arial Unicode MS"/>
        </w:rPr>
        <w:t xml:space="preserve"> been stripped of their dignity, depr</w:t>
      </w:r>
      <w:r w:rsidR="003D6584">
        <w:rPr>
          <w:rFonts w:eastAsia="Arial Unicode MS" w:cs="Arial Unicode MS"/>
        </w:rPr>
        <w:t>ived health and safety, and had</w:t>
      </w:r>
      <w:r>
        <w:rPr>
          <w:rFonts w:eastAsia="Arial Unicode MS" w:cs="Arial Unicode MS"/>
        </w:rPr>
        <w:t xml:space="preserve"> no freedom or autonomy of their own bodies. The amount of time it </w:t>
      </w:r>
      <w:r w:rsidR="003D6584">
        <w:rPr>
          <w:rFonts w:eastAsia="Arial Unicode MS" w:cs="Arial Unicode MS"/>
        </w:rPr>
        <w:t>took for police to get permits meant criminals had</w:t>
      </w:r>
      <w:r>
        <w:rPr>
          <w:rFonts w:eastAsia="Arial Unicode MS" w:cs="Arial Unicode MS"/>
        </w:rPr>
        <w:t xml:space="preserve"> a</w:t>
      </w:r>
      <w:r w:rsidR="003D6584">
        <w:rPr>
          <w:rFonts w:eastAsia="Arial Unicode MS" w:cs="Arial Unicode MS"/>
        </w:rPr>
        <w:t>mple time to move or hide their victims</w:t>
      </w:r>
      <w:r>
        <w:rPr>
          <w:rFonts w:eastAsia="Arial Unicode MS" w:cs="Arial Unicode MS"/>
        </w:rPr>
        <w:t>.</w:t>
      </w:r>
    </w:p>
    <w:p w14:paraId="217D3678" w14:textId="0DF1AE50" w:rsidR="00D627F3" w:rsidRDefault="00D627F3" w:rsidP="00D627F3">
      <w:pPr>
        <w:pStyle w:val="Body"/>
      </w:pPr>
      <w:r>
        <w:rPr>
          <w:rFonts w:eastAsia="Arial Unicode MS" w:cs="Arial Unicode MS"/>
        </w:rPr>
        <w:t>Thirdly, students</w:t>
      </w:r>
      <w:r w:rsidR="003D6584">
        <w:rPr>
          <w:rFonts w:eastAsia="Arial Unicode MS" w:cs="Arial Unicode MS"/>
        </w:rPr>
        <w:t>’</w:t>
      </w:r>
      <w:r>
        <w:rPr>
          <w:rFonts w:eastAsia="Arial Unicode MS" w:cs="Arial Unicode MS"/>
        </w:rPr>
        <w:t xml:space="preserve"> right to private property is severely harming the public</w:t>
      </w:r>
      <w:r w:rsidR="003D6584">
        <w:rPr>
          <w:rFonts w:eastAsia="Arial Unicode MS" w:cs="Arial Unicode MS"/>
        </w:rPr>
        <w:t>’</w:t>
      </w:r>
      <w:r>
        <w:rPr>
          <w:rFonts w:eastAsia="Arial Unicode MS" w:cs="Arial Unicode MS"/>
        </w:rPr>
        <w:t>s ability to keep students safe, healthy, and away from potentially lethal substances. Why should a student</w:t>
      </w:r>
      <w:r w:rsidR="003D6584">
        <w:rPr>
          <w:rFonts w:eastAsia="Arial Unicode MS" w:cs="Arial Unicode MS"/>
        </w:rPr>
        <w:t>’</w:t>
      </w:r>
      <w:r>
        <w:rPr>
          <w:rFonts w:eastAsia="Arial Unicode MS" w:cs="Arial Unicode MS"/>
        </w:rPr>
        <w:t>s right to keep a teacher from looking in their backpack be greater than the public</w:t>
      </w:r>
      <w:r w:rsidR="003D6584">
        <w:rPr>
          <w:rFonts w:eastAsia="Arial Unicode MS" w:cs="Arial Unicode MS"/>
        </w:rPr>
        <w:t>’</w:t>
      </w:r>
      <w:r>
        <w:rPr>
          <w:rFonts w:eastAsia="Arial Unicode MS" w:cs="Arial Unicode MS"/>
        </w:rPr>
        <w:t>s need to have a drug-free environment?</w:t>
      </w:r>
    </w:p>
    <w:p w14:paraId="5B9F5B4E" w14:textId="77777777" w:rsidR="00D627F3" w:rsidRDefault="00D627F3" w:rsidP="00D627F3">
      <w:pPr>
        <w:pStyle w:val="Body"/>
      </w:pPr>
      <w:r>
        <w:rPr>
          <w:rFonts w:eastAsia="Arial Unicode MS" w:cs="Arial Unicode MS"/>
        </w:rPr>
        <w:t xml:space="preserve">The resolution is not asking us to give up private property for the </w:t>
      </w:r>
      <w:r>
        <w:rPr>
          <w:rFonts w:eastAsia="Arial Unicode MS" w:cs="Arial Unicode MS"/>
          <w:i/>
          <w:iCs/>
        </w:rPr>
        <w:t xml:space="preserve">wants </w:t>
      </w:r>
      <w:r>
        <w:rPr>
          <w:rFonts w:eastAsia="Arial Unicode MS" w:cs="Arial Unicode MS"/>
        </w:rPr>
        <w:t xml:space="preserve">of the public or the </w:t>
      </w:r>
      <w:r>
        <w:rPr>
          <w:rFonts w:eastAsia="Arial Unicode MS" w:cs="Arial Unicode MS"/>
          <w:i/>
          <w:iCs/>
        </w:rPr>
        <w:t xml:space="preserve">convenience </w:t>
      </w:r>
      <w:r>
        <w:rPr>
          <w:rFonts w:eastAsia="Arial Unicode MS" w:cs="Arial Unicode MS"/>
        </w:rPr>
        <w:t xml:space="preserve">of the public. Not even the </w:t>
      </w:r>
      <w:r w:rsidRPr="003D6584">
        <w:rPr>
          <w:rFonts w:eastAsia="Arial Unicode MS" w:cs="Arial Unicode MS"/>
          <w:i/>
        </w:rPr>
        <w:t>benefit</w:t>
      </w:r>
      <w:r>
        <w:rPr>
          <w:rFonts w:eastAsia="Arial Unicode MS" w:cs="Arial Unicode MS"/>
        </w:rPr>
        <w:t xml:space="preserve"> of the public. Even if private property rights slightly harm the public without violating basic rights than it is permissible under the affirmative burden and you can still cast an affirmative ballot. What we are talking about is </w:t>
      </w:r>
      <w:r>
        <w:rPr>
          <w:rFonts w:eastAsia="Arial Unicode MS" w:cs="Arial Unicode MS"/>
          <w:i/>
          <w:iCs/>
        </w:rPr>
        <w:t>need</w:t>
      </w:r>
      <w:r>
        <w:rPr>
          <w:rFonts w:eastAsia="Arial Unicode MS" w:cs="Arial Unicode MS"/>
        </w:rPr>
        <w:t xml:space="preserve">, implying something that people literally cannot live their lives without. </w:t>
      </w:r>
    </w:p>
    <w:p w14:paraId="0B7EA4A4" w14:textId="51ABB8E3" w:rsidR="00D627F3" w:rsidRDefault="00D627F3" w:rsidP="00D627F3">
      <w:pPr>
        <w:pStyle w:val="Body"/>
      </w:pPr>
      <w:r>
        <w:rPr>
          <w:rFonts w:eastAsia="Arial Unicode MS" w:cs="Arial Unicode MS"/>
        </w:rPr>
        <w:t>Needs are necessary. If</w:t>
      </w:r>
      <w:r w:rsidR="003D6584">
        <w:rPr>
          <w:rFonts w:eastAsia="Arial Unicode MS" w:cs="Arial Unicode MS"/>
        </w:rPr>
        <w:t xml:space="preserve"> people harming our basic needs —</w:t>
      </w:r>
      <w:r>
        <w:rPr>
          <w:rFonts w:eastAsia="Arial Unicode MS" w:cs="Arial Unicode MS"/>
        </w:rPr>
        <w:t xml:space="preserve"> if people who kill, steal, and assault were not forced to forfeit some of their rights for the public </w:t>
      </w:r>
      <w:r w:rsidR="003D6584">
        <w:rPr>
          <w:rFonts w:eastAsia="Arial Unicode MS" w:cs="Arial Unicode MS"/>
        </w:rPr>
        <w:t xml:space="preserve">— </w:t>
      </w:r>
      <w:r>
        <w:rPr>
          <w:rFonts w:eastAsia="Arial Unicode MS" w:cs="Arial Unicode MS"/>
        </w:rPr>
        <w:t>no-one would go to jail and all criminals would have personal freedom.</w:t>
      </w:r>
    </w:p>
    <w:p w14:paraId="147EF13C" w14:textId="77777777" w:rsidR="00D627F3" w:rsidRDefault="00D627F3" w:rsidP="003D6584">
      <w:pPr>
        <w:pStyle w:val="Heading2"/>
      </w:pPr>
      <w:r>
        <w:t>Subpoint 2: Fair Transaction</w:t>
      </w:r>
    </w:p>
    <w:p w14:paraId="64F9537A" w14:textId="1D69AFFD" w:rsidR="00D627F3" w:rsidRDefault="00D627F3" w:rsidP="00D627F3">
      <w:pPr>
        <w:pStyle w:val="Body"/>
      </w:pPr>
      <w:r>
        <w:rPr>
          <w:rFonts w:eastAsia="Arial Unicode MS" w:cs="Arial Unicode MS"/>
        </w:rPr>
        <w:t>Violation</w:t>
      </w:r>
      <w:r w:rsidR="003D6584">
        <w:rPr>
          <w:rFonts w:eastAsia="Arial Unicode MS" w:cs="Arial Unicode MS"/>
        </w:rPr>
        <w:t>s of basic human needs require</w:t>
      </w:r>
      <w:r>
        <w:rPr>
          <w:rFonts w:eastAsia="Arial Unicode MS" w:cs="Arial Unicode MS"/>
        </w:rPr>
        <w:t xml:space="preserve"> justice. It is the job of the government and law enforcement to provide that </w:t>
      </w:r>
      <w:r w:rsidR="003D6584">
        <w:rPr>
          <w:rFonts w:eastAsia="Arial Unicode MS" w:cs="Arial Unicode MS"/>
        </w:rPr>
        <w:t>justice. However, since we live</w:t>
      </w:r>
      <w:r>
        <w:rPr>
          <w:rFonts w:eastAsia="Arial Unicode MS" w:cs="Arial Unicode MS"/>
        </w:rPr>
        <w:t xml:space="preserve"> in a flawed world are laws and governme</w:t>
      </w:r>
      <w:r w:rsidR="003D6584">
        <w:rPr>
          <w:rFonts w:eastAsia="Arial Unicode MS" w:cs="Arial Unicode MS"/>
        </w:rPr>
        <w:t>nts are also naturally flawed, i</w:t>
      </w:r>
      <w:r>
        <w:rPr>
          <w:rFonts w:eastAsia="Arial Unicode MS" w:cs="Arial Unicode MS"/>
        </w:rPr>
        <w:t>t is understandable to have some questions about what the government</w:t>
      </w:r>
      <w:r w:rsidR="003D6584">
        <w:rPr>
          <w:rFonts w:eastAsia="Arial Unicode MS" w:cs="Arial Unicode MS"/>
        </w:rPr>
        <w:t>’</w:t>
      </w:r>
      <w:r>
        <w:rPr>
          <w:rFonts w:eastAsia="Arial Unicode MS" w:cs="Arial Unicode MS"/>
        </w:rPr>
        <w:t>s limits are under the affirmative burden. In order to make sure justice is served fairly, these are some steps we can take as affirmers of this resolution to ease the minds of</w:t>
      </w:r>
      <w:r w:rsidR="003D6584">
        <w:rPr>
          <w:rFonts w:eastAsia="Arial Unicode MS" w:cs="Arial Unicode MS"/>
        </w:rPr>
        <w:t xml:space="preserve"> those apprehensive for fear of</w:t>
      </w:r>
      <w:r>
        <w:rPr>
          <w:rFonts w:eastAsia="Arial Unicode MS" w:cs="Arial Unicode MS"/>
        </w:rPr>
        <w:t xml:space="preserve"> government control:</w:t>
      </w:r>
    </w:p>
    <w:p w14:paraId="4C045080" w14:textId="77777777" w:rsidR="00D627F3" w:rsidRDefault="00D627F3" w:rsidP="00D627F3">
      <w:pPr>
        <w:pStyle w:val="Body"/>
        <w:numPr>
          <w:ilvl w:val="0"/>
          <w:numId w:val="18"/>
        </w:numPr>
      </w:pPr>
      <w:r>
        <w:rPr>
          <w:rFonts w:eastAsia="Arial Unicode MS" w:cs="Arial Unicode MS"/>
        </w:rPr>
        <w:t>Compensation. If property is ever damaged or withheld during an investigation and no laws were found to be broken, the person should be fairly compensated by government the amount due to them. The government already does this.</w:t>
      </w:r>
    </w:p>
    <w:p w14:paraId="5C912EE4" w14:textId="7A913926" w:rsidR="00D627F3" w:rsidRDefault="00D627F3" w:rsidP="00D627F3">
      <w:pPr>
        <w:pStyle w:val="Body"/>
        <w:numPr>
          <w:ilvl w:val="0"/>
          <w:numId w:val="18"/>
        </w:numPr>
      </w:pPr>
      <w:r>
        <w:rPr>
          <w:rFonts w:eastAsia="Arial Unicode MS" w:cs="Arial Unicode MS"/>
        </w:rPr>
        <w:t>Reworking laws. Laws can be changed and created to ensure private property rights are only forfeited when they have violated the true needs of the public</w:t>
      </w:r>
      <w:r w:rsidR="003D6584">
        <w:rPr>
          <w:rFonts w:eastAsia="Arial Unicode MS" w:cs="Arial Unicode MS"/>
        </w:rPr>
        <w:t>.</w:t>
      </w:r>
    </w:p>
    <w:p w14:paraId="48C0CC5A" w14:textId="77777777" w:rsidR="00D627F3" w:rsidRDefault="00D627F3" w:rsidP="00D627F3">
      <w:pPr>
        <w:pStyle w:val="Body"/>
      </w:pPr>
      <w:r>
        <w:rPr>
          <w:rFonts w:eastAsia="Arial Unicode MS" w:cs="Arial Unicode MS"/>
        </w:rPr>
        <w:lastRenderedPageBreak/>
        <w:t xml:space="preserve">This is not a plan, per say, but merely suggestions to show how the affirmative is flexible and ready to look at how the world should be or could be. This also illustrates that valuing public needs </w:t>
      </w:r>
      <w:r w:rsidRPr="003D6584">
        <w:rPr>
          <w:rFonts w:eastAsia="Arial Unicode MS" w:cs="Arial Unicode MS"/>
          <w:i/>
        </w:rPr>
        <w:t>first</w:t>
      </w:r>
      <w:r>
        <w:rPr>
          <w:rFonts w:eastAsia="Arial Unicode MS" w:cs="Arial Unicode MS"/>
        </w:rPr>
        <w:t xml:space="preserve"> is possible while still regulating the amount of government control.</w:t>
      </w:r>
    </w:p>
    <w:p w14:paraId="276C6546" w14:textId="77777777" w:rsidR="00D627F3" w:rsidRDefault="00D627F3" w:rsidP="003D6584">
      <w:pPr>
        <w:pStyle w:val="Heading1"/>
      </w:pPr>
      <w:proofErr w:type="spellStart"/>
      <w:r>
        <w:rPr>
          <w:lang w:val="it-IT"/>
        </w:rPr>
        <w:t>Conclusion</w:t>
      </w:r>
      <w:proofErr w:type="spellEnd"/>
    </w:p>
    <w:p w14:paraId="0475FA56" w14:textId="58D7FD6F" w:rsidR="00D627F3" w:rsidRDefault="00D627F3" w:rsidP="00D627F3">
      <w:pPr>
        <w:pStyle w:val="Body"/>
      </w:pPr>
      <w:r>
        <w:rPr>
          <w:rFonts w:eastAsia="Arial Unicode MS" w:cs="Arial Unicode MS"/>
        </w:rPr>
        <w:t>The great thing about this resolution is you can have your cake and eat it, too. With a change in how our society values public needs we could potentially change laws and cultural outlook to help empower people to basic human rights. In a world like that, we would have all public needs met and as much private property rights as possible. However, when we are forced to make choices about what is value</w:t>
      </w:r>
      <w:r w:rsidR="003D6584">
        <w:rPr>
          <w:rFonts w:eastAsia="Arial Unicode MS" w:cs="Arial Unicode MS"/>
        </w:rPr>
        <w:t>d in our communities,</w:t>
      </w:r>
      <w:r>
        <w:rPr>
          <w:rFonts w:eastAsia="Arial Unicode MS" w:cs="Arial Unicode MS"/>
        </w:rPr>
        <w:t xml:space="preserve"> the needs of the people should always be more important.</w:t>
      </w:r>
    </w:p>
    <w:p w14:paraId="3D1168CB" w14:textId="77777777" w:rsidR="00D627F3" w:rsidRDefault="00D627F3" w:rsidP="00D627F3">
      <w:pPr>
        <w:pStyle w:val="Body"/>
      </w:pPr>
    </w:p>
    <w:p w14:paraId="5FEE0C62" w14:textId="77777777" w:rsidR="00D627F3" w:rsidRDefault="00D627F3" w:rsidP="00D627F3">
      <w:pPr>
        <w:pStyle w:val="Red-Title"/>
      </w:pPr>
      <w:r>
        <w:lastRenderedPageBreak/>
        <w:t>Negative Brief: The Greater Need</w:t>
      </w:r>
    </w:p>
    <w:p w14:paraId="4A5E073C" w14:textId="009B3AF8" w:rsidR="00D627F3" w:rsidRDefault="00D627F3" w:rsidP="00D627F3">
      <w:pPr>
        <w:pStyle w:val="RedBookBody"/>
      </w:pPr>
      <w:r>
        <w:t xml:space="preserve">Private property rights are widely considered a Human Right. In fact, the original phrase </w:t>
      </w:r>
      <w:r w:rsidR="003D6584">
        <w:t xml:space="preserve">in the preamble of the Constitution </w:t>
      </w:r>
      <w:r>
        <w:t>was “life, liberty and property</w:t>
      </w:r>
      <w:r w:rsidR="003D6584">
        <w:t>.”</w:t>
      </w:r>
      <w:r>
        <w:rPr>
          <w:rFonts w:cs="Times New Roman"/>
          <w:vertAlign w:val="superscript"/>
        </w:rPr>
        <w:footnoteReference w:id="8"/>
      </w:r>
      <w:r>
        <w:t xml:space="preserve"> Try using the Affirmative value against them. This case is more about the thesis statement than the value itself</w:t>
      </w:r>
      <w:r w:rsidR="003D6584">
        <w:t>.</w:t>
      </w:r>
      <w:r>
        <w:t xml:space="preserve"> </w:t>
      </w:r>
    </w:p>
    <w:p w14:paraId="14485766" w14:textId="7891A794" w:rsidR="00D627F3" w:rsidRDefault="00D627F3" w:rsidP="00D627F3">
      <w:pPr>
        <w:pStyle w:val="RedBookBody"/>
      </w:pPr>
      <w:r>
        <w:t>The Affirmative argues basic rights are foundational. However, necess</w:t>
      </w:r>
      <w:r w:rsidR="003D6584">
        <w:t>ity does not equal more value</w:t>
      </w:r>
      <w:r>
        <w:t xml:space="preserve">. Oxygen is necessary for human life but is not more valuable than human life. If they could exist outside of each other, and a choice needed to be made between the two, human life would be chosen every time. Addition </w:t>
      </w:r>
      <w:r w:rsidR="008162EB">
        <w:t xml:space="preserve">is necessary to learn </w:t>
      </w:r>
      <w:proofErr w:type="gramStart"/>
      <w:r w:rsidR="008162EB">
        <w:t>Calculus,</w:t>
      </w:r>
      <w:proofErr w:type="gramEnd"/>
      <w:r>
        <w:t xml:space="preserve"> with which can you earn a business degree? Basic rights </w:t>
      </w:r>
      <w:r w:rsidR="008162EB">
        <w:t>are necessary for other rights,</w:t>
      </w:r>
      <w:r>
        <w:t xml:space="preserve"> but doesn’t that make the other rights the ultimate goal? Don’t we want to eventually achieve </w:t>
      </w:r>
      <w:r>
        <w:rPr>
          <w:i/>
          <w:iCs/>
        </w:rPr>
        <w:t xml:space="preserve">all </w:t>
      </w:r>
      <w:r>
        <w:t>rights? Should not the ultimate goal be the value of the debate round? This affirmative assumes priorit</w:t>
      </w:r>
      <w:r w:rsidR="008162EB">
        <w:t>izing and valuing are the same,</w:t>
      </w:r>
      <w:r>
        <w:t xml:space="preserve"> but it can be easily argued they are not. Try asking for your opponent’s definition of “valued above” and then, if needed, propose these:</w:t>
      </w:r>
    </w:p>
    <w:p w14:paraId="364DAC49" w14:textId="77777777" w:rsidR="00D627F3" w:rsidRDefault="00D627F3" w:rsidP="008162EB">
      <w:pPr>
        <w:pStyle w:val="RedBookBody"/>
        <w:ind w:left="720"/>
      </w:pPr>
      <w:r>
        <w:t>Value: “The regard that something is held to deserve; the importance, worth, or usefulness of something.”</w:t>
      </w:r>
      <w:r>
        <w:rPr>
          <w:rFonts w:cs="Times New Roman"/>
          <w:vertAlign w:val="superscript"/>
        </w:rPr>
        <w:footnoteReference w:id="9"/>
      </w:r>
    </w:p>
    <w:p w14:paraId="5CD74A41" w14:textId="77777777" w:rsidR="00D627F3" w:rsidRDefault="00D627F3" w:rsidP="00D627F3">
      <w:pPr>
        <w:pStyle w:val="RedBookBody"/>
      </w:pPr>
      <w:r>
        <w:t>as opposed to</w:t>
      </w:r>
    </w:p>
    <w:p w14:paraId="4A48825E" w14:textId="77777777" w:rsidR="00D627F3" w:rsidRDefault="00D627F3" w:rsidP="008162EB">
      <w:pPr>
        <w:pStyle w:val="RedBookBody"/>
        <w:ind w:left="720"/>
      </w:pPr>
      <w:r>
        <w:t>Priority: “The right to take precedence or to proceed before others.”</w:t>
      </w:r>
      <w:r>
        <w:rPr>
          <w:rFonts w:cs="Times New Roman"/>
          <w:vertAlign w:val="superscript"/>
        </w:rPr>
        <w:footnoteReference w:id="10"/>
      </w:r>
    </w:p>
    <w:p w14:paraId="4EADC5F1" w14:textId="17CDAD37" w:rsidR="00D627F3" w:rsidRDefault="00D627F3" w:rsidP="00D627F3">
      <w:pPr>
        <w:pStyle w:val="RedBookBody"/>
      </w:pPr>
      <w:r>
        <w:t xml:space="preserve">One avenue could be to say that right to private property </w:t>
      </w:r>
      <w:r>
        <w:rPr>
          <w:i/>
          <w:iCs/>
        </w:rPr>
        <w:t xml:space="preserve">includes </w:t>
      </w:r>
      <w:r w:rsidR="008162EB">
        <w:t>right to own oneself</w:t>
      </w:r>
      <w:r>
        <w:t>. Once you have asserted that, you have turned the Affirmative’s entire rhetoric against them. This is called Self-Ownership and can be used as a counter-value. It is a foundation of Libertarian philosophy</w:t>
      </w:r>
      <w:r>
        <w:rPr>
          <w:rFonts w:cs="Times New Roman"/>
          <w:vertAlign w:val="superscript"/>
        </w:rPr>
        <w:footnoteReference w:id="11"/>
      </w:r>
      <w:r w:rsidR="008162EB">
        <w:t xml:space="preserve"> and is a good </w:t>
      </w:r>
      <w:r>
        <w:t xml:space="preserve">counter argument if your opponent chooses to bring up the Civil War. </w:t>
      </w:r>
    </w:p>
    <w:p w14:paraId="4670B374" w14:textId="620F63AF" w:rsidR="00456284" w:rsidRPr="00D627F3" w:rsidRDefault="00456284" w:rsidP="00D627F3"/>
    <w:sectPr w:rsidR="00456284" w:rsidRPr="00D627F3"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9C43A" w14:textId="77777777" w:rsidR="00E65EB9" w:rsidRDefault="00E65EB9" w:rsidP="002E0E21">
      <w:r>
        <w:separator/>
      </w:r>
    </w:p>
  </w:endnote>
  <w:endnote w:type="continuationSeparator" w:id="0">
    <w:p w14:paraId="06CF6D5F" w14:textId="77777777" w:rsidR="00E65EB9" w:rsidRDefault="00E65EB9"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63624EE"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72166">
      <w:rPr>
        <w:noProof/>
      </w:rPr>
      <w:t>6</w:t>
    </w:r>
    <w:r w:rsidRPr="0018486A">
      <w:rPr>
        <w:b/>
      </w:rPr>
      <w:fldChar w:fldCharType="end"/>
    </w:r>
    <w:r w:rsidRPr="0018486A">
      <w:t xml:space="preserve"> of </w:t>
    </w:r>
    <w:fldSimple w:instr=" NUMPAGES ">
      <w:r w:rsidR="00D72166">
        <w:rPr>
          <w:noProof/>
        </w:rPr>
        <w:t>6</w:t>
      </w:r>
    </w:fldSimple>
    <w:r>
      <w:tab/>
    </w:r>
    <w:r w:rsidR="00D72166">
      <w:rPr>
        <w:sz w:val="18"/>
        <w:szCs w:val="18"/>
      </w:rPr>
      <w:t>Published 8/29</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FF55E" w14:textId="77777777" w:rsidR="00E65EB9" w:rsidRDefault="00E65EB9" w:rsidP="002E0E21">
      <w:r>
        <w:separator/>
      </w:r>
    </w:p>
  </w:footnote>
  <w:footnote w:type="continuationSeparator" w:id="0">
    <w:p w14:paraId="27B84CF3" w14:textId="77777777" w:rsidR="00E65EB9" w:rsidRDefault="00E65EB9" w:rsidP="002E0E21">
      <w:r>
        <w:continuationSeparator/>
      </w:r>
    </w:p>
  </w:footnote>
  <w:footnote w:id="1">
    <w:p w14:paraId="7B8F82FE" w14:textId="77777777" w:rsidR="00D627F3" w:rsidRDefault="00D627F3" w:rsidP="00D627F3">
      <w:pPr>
        <w:pStyle w:val="FootnoteText"/>
      </w:pPr>
      <w:r>
        <w:rPr>
          <w:vertAlign w:val="superscript"/>
        </w:rPr>
        <w:footnoteRef/>
      </w:r>
      <w:r>
        <w:rPr>
          <w:rFonts w:eastAsia="Arial Unicode MS" w:cs="Arial Unicode MS"/>
        </w:rPr>
        <w:t xml:space="preserve"> Huston, James L. Calculating the Value of the Union: Slavery, Property Rights, and the Economic Origins of the Civil War. (2003) ISBN 0-8078-2804-1</w:t>
      </w:r>
      <w:bookmarkStart w:id="0" w:name="_GoBack"/>
      <w:bookmarkEnd w:id="0"/>
    </w:p>
  </w:footnote>
  <w:footnote w:id="2">
    <w:p w14:paraId="4BA13F50" w14:textId="77777777" w:rsidR="00D627F3" w:rsidRDefault="00D627F3" w:rsidP="00D627F3">
      <w:pPr>
        <w:pStyle w:val="FootnoteText"/>
      </w:pPr>
      <w:r>
        <w:rPr>
          <w:vertAlign w:val="superscript"/>
        </w:rPr>
        <w:footnoteRef/>
      </w:r>
      <w:r>
        <w:rPr>
          <w:rFonts w:eastAsia="Arial Unicode MS" w:cs="Arial Unicode MS"/>
        </w:rPr>
        <w:t xml:space="preserve"> Children Found in Condemned House. KOAT News, 24 June 2015. Web. 25 Aug. 2016. &lt;https://www.yahoo.com/news/video/children-found-condemned-house-050733308.html?ref=gs&gt;.</w:t>
      </w:r>
    </w:p>
  </w:footnote>
  <w:footnote w:id="3">
    <w:p w14:paraId="0406AF6A" w14:textId="77777777" w:rsidR="00D627F3" w:rsidRDefault="00D627F3" w:rsidP="00D627F3">
      <w:pPr>
        <w:pStyle w:val="FootnoteText"/>
      </w:pPr>
      <w:r>
        <w:rPr>
          <w:vertAlign w:val="superscript"/>
        </w:rPr>
        <w:footnoteRef/>
      </w:r>
      <w:r>
        <w:rPr>
          <w:rFonts w:eastAsia="Arial Unicode MS" w:cs="Arial Unicode MS"/>
        </w:rPr>
        <w:t xml:space="preserve"> Minnesota Office of Justice Program, and Minnesota Statistical Analysis Center. "Human Trafficking in Minnesota." (</w:t>
      </w:r>
      <w:proofErr w:type="spellStart"/>
      <w:r>
        <w:rPr>
          <w:rFonts w:eastAsia="Arial Unicode MS" w:cs="Arial Unicode MS"/>
        </w:rPr>
        <w:t>n.d.</w:t>
      </w:r>
      <w:proofErr w:type="spellEnd"/>
      <w:r>
        <w:rPr>
          <w:rFonts w:eastAsia="Arial Unicode MS" w:cs="Arial Unicode MS"/>
        </w:rPr>
        <w:t>): 6. Sept. 2012. Web. 25 Aug. 2016. &lt;https://dps.mn.gov/divisions/ojp/forms-documents/Documents/Human%20Trafficking%20Final%20Report.pdf&gt;.</w:t>
      </w:r>
    </w:p>
  </w:footnote>
  <w:footnote w:id="4">
    <w:p w14:paraId="0F8436B3" w14:textId="3F979150" w:rsidR="00D627F3" w:rsidRDefault="00D627F3" w:rsidP="00D627F3">
      <w:pPr>
        <w:pStyle w:val="FootnoteText"/>
      </w:pPr>
      <w:r>
        <w:rPr>
          <w:vertAlign w:val="superscript"/>
        </w:rPr>
        <w:footnoteRef/>
      </w:r>
      <w:r>
        <w:rPr>
          <w:rFonts w:eastAsia="Arial Unicode MS" w:cs="Arial Unicode MS"/>
        </w:rPr>
        <w:t xml:space="preserve"> </w:t>
      </w:r>
      <w:proofErr w:type="spellStart"/>
      <w:r>
        <w:rPr>
          <w:rFonts w:eastAsia="Arial Unicode MS" w:cs="Arial Unicode MS"/>
        </w:rPr>
        <w:t>Ehlenburger</w:t>
      </w:r>
      <w:proofErr w:type="spellEnd"/>
      <w:r>
        <w:rPr>
          <w:rFonts w:eastAsia="Arial Unicode MS" w:cs="Arial Unicode MS"/>
        </w:rPr>
        <w:t>, Kate R. "The Right to Search Students." Educational Leadership:</w:t>
      </w:r>
      <w:r w:rsidR="00FB3BA8">
        <w:rPr>
          <w:rFonts w:eastAsia="Arial Unicode MS" w:cs="Arial Unicode MS"/>
        </w:rPr>
        <w:t xml:space="preserve"> </w:t>
      </w:r>
      <w:r>
        <w:rPr>
          <w:rFonts w:eastAsia="Arial Unicode MS" w:cs="Arial Unicode MS"/>
        </w:rPr>
        <w:t xml:space="preserve">Understanding the </w:t>
      </w:r>
      <w:proofErr w:type="gramStart"/>
      <w:r>
        <w:rPr>
          <w:rFonts w:eastAsia="Arial Unicode MS" w:cs="Arial Unicode MS"/>
        </w:rPr>
        <w:t>Law:.</w:t>
      </w:r>
      <w:proofErr w:type="gramEnd"/>
      <w:r>
        <w:rPr>
          <w:rFonts w:eastAsia="Arial Unicode MS" w:cs="Arial Unicode MS"/>
        </w:rPr>
        <w:t xml:space="preserve"> ASCD, Dec.-Jan. 2001, 2002. Web. 26 Aug. 2016. &lt;http://www.ascd.org/publications/educational-leadership/dec01/vol59/num04/The-Right-to-Search-Students.aspx&gt;.</w:t>
      </w:r>
    </w:p>
  </w:footnote>
  <w:footnote w:id="5">
    <w:p w14:paraId="5E33258D" w14:textId="77777777" w:rsidR="00D627F3" w:rsidRDefault="00D627F3" w:rsidP="00D627F3">
      <w:pPr>
        <w:pStyle w:val="FootnoteText"/>
      </w:pPr>
      <w:r>
        <w:rPr>
          <w:vertAlign w:val="superscript"/>
        </w:rPr>
        <w:footnoteRef/>
      </w:r>
      <w:r>
        <w:rPr>
          <w:rFonts w:eastAsia="Arial Unicode MS" w:cs="Arial Unicode MS"/>
        </w:rPr>
        <w:t xml:space="preserve"> Community. "Definition of Public in </w:t>
      </w:r>
      <w:proofErr w:type="gramStart"/>
      <w:r>
        <w:rPr>
          <w:rFonts w:eastAsia="Arial Unicode MS" w:cs="Arial Unicode MS"/>
        </w:rPr>
        <w:t>English:.</w:t>
      </w:r>
      <w:proofErr w:type="gramEnd"/>
      <w:r>
        <w:rPr>
          <w:rFonts w:eastAsia="Arial Unicode MS" w:cs="Arial Unicode MS"/>
        </w:rPr>
        <w:t xml:space="preserve">" Public: Definition of Public in Oxford Dictionary (American English) (US). Oxford Dictionary, </w:t>
      </w:r>
      <w:proofErr w:type="spellStart"/>
      <w:r>
        <w:rPr>
          <w:rFonts w:eastAsia="Arial Unicode MS" w:cs="Arial Unicode MS"/>
        </w:rPr>
        <w:t>n.d.</w:t>
      </w:r>
      <w:proofErr w:type="spellEnd"/>
      <w:r>
        <w:rPr>
          <w:rFonts w:eastAsia="Arial Unicode MS" w:cs="Arial Unicode MS"/>
        </w:rPr>
        <w:t xml:space="preserve"> Web. 26 Aug. 2016. &lt;http://www.oxforddictionaries.com/us/definition/american_english/public&gt;.</w:t>
      </w:r>
    </w:p>
  </w:footnote>
  <w:footnote w:id="6">
    <w:p w14:paraId="6B3478B9" w14:textId="77777777" w:rsidR="00D627F3" w:rsidRDefault="00D627F3" w:rsidP="00D627F3">
      <w:pPr>
        <w:pStyle w:val="FootnoteText"/>
      </w:pPr>
      <w:r>
        <w:rPr>
          <w:vertAlign w:val="superscript"/>
        </w:rPr>
        <w:footnoteRef/>
      </w:r>
      <w:r>
        <w:rPr>
          <w:rFonts w:eastAsia="Arial Unicode MS" w:cs="Arial Unicode MS"/>
        </w:rPr>
        <w:t xml:space="preserve"> UN. "Universal Declaration of Human Rights." </w:t>
      </w:r>
      <w:proofErr w:type="spellStart"/>
      <w:r>
        <w:rPr>
          <w:rFonts w:eastAsia="Arial Unicode MS" w:cs="Arial Unicode MS"/>
        </w:rPr>
        <w:t>SpringerReference</w:t>
      </w:r>
      <w:proofErr w:type="spellEnd"/>
      <w:r>
        <w:rPr>
          <w:rFonts w:eastAsia="Arial Unicode MS" w:cs="Arial Unicode MS"/>
        </w:rPr>
        <w:t xml:space="preserve"> (</w:t>
      </w:r>
      <w:proofErr w:type="spellStart"/>
      <w:r>
        <w:rPr>
          <w:rFonts w:eastAsia="Arial Unicode MS" w:cs="Arial Unicode MS"/>
        </w:rPr>
        <w:t>n.d.</w:t>
      </w:r>
      <w:proofErr w:type="spellEnd"/>
      <w:r>
        <w:rPr>
          <w:rFonts w:eastAsia="Arial Unicode MS" w:cs="Arial Unicode MS"/>
        </w:rPr>
        <w:t xml:space="preserve">): n. </w:t>
      </w:r>
      <w:proofErr w:type="spellStart"/>
      <w:r>
        <w:rPr>
          <w:rFonts w:eastAsia="Arial Unicode MS" w:cs="Arial Unicode MS"/>
        </w:rPr>
        <w:t>pag</w:t>
      </w:r>
      <w:proofErr w:type="spellEnd"/>
      <w:r>
        <w:rPr>
          <w:rFonts w:eastAsia="Arial Unicode MS" w:cs="Arial Unicode MS"/>
        </w:rPr>
        <w:t>. United Nations. UN, 8 Dec. 1948. Web. 26 Aug. 2016. &lt;http://www.ohchr.org/EN/UDHR/Documents/UDHR_Translations/eng.pdf&gt;.</w:t>
      </w:r>
    </w:p>
  </w:footnote>
  <w:footnote w:id="7">
    <w:p w14:paraId="57083DA1" w14:textId="77777777" w:rsidR="00D627F3" w:rsidRDefault="00D627F3" w:rsidP="00D627F3">
      <w:pPr>
        <w:pStyle w:val="FootnoteText"/>
      </w:pPr>
      <w:r>
        <w:rPr>
          <w:vertAlign w:val="superscript"/>
        </w:rPr>
        <w:footnoteRef/>
      </w:r>
      <w:r>
        <w:rPr>
          <w:rFonts w:eastAsia="Arial Unicode MS" w:cs="Arial Unicode MS"/>
        </w:rPr>
        <w:t xml:space="preserve"> </w:t>
      </w:r>
      <w:hyperlink r:id="rId1" w:history="1">
        <w:r>
          <w:rPr>
            <w:rStyle w:val="Hyperlink0"/>
            <w:rFonts w:eastAsia="Arial Unicode MS" w:cs="Arial Unicode MS"/>
          </w:rPr>
          <w:t>http://www.merriam-webster.com/dictionary/social%20contract</w:t>
        </w:r>
      </w:hyperlink>
    </w:p>
  </w:footnote>
  <w:footnote w:id="8">
    <w:p w14:paraId="72311D08" w14:textId="77777777" w:rsidR="00D627F3" w:rsidRDefault="00D627F3" w:rsidP="00D627F3">
      <w:pPr>
        <w:pStyle w:val="FootnoteText"/>
      </w:pPr>
      <w:r>
        <w:rPr>
          <w:vertAlign w:val="superscript"/>
        </w:rPr>
        <w:footnoteRef/>
      </w:r>
      <w:r>
        <w:rPr>
          <w:rFonts w:eastAsia="Arial Unicode MS" w:cs="Arial Unicode MS"/>
        </w:rPr>
        <w:t xml:space="preserve">  Locke, John (1988) [1689]. </w:t>
      </w:r>
      <w:proofErr w:type="spellStart"/>
      <w:r>
        <w:rPr>
          <w:rFonts w:eastAsia="Arial Unicode MS" w:cs="Arial Unicode MS"/>
        </w:rPr>
        <w:t>Laslett</w:t>
      </w:r>
      <w:proofErr w:type="spellEnd"/>
      <w:r>
        <w:rPr>
          <w:rFonts w:eastAsia="Arial Unicode MS" w:cs="Arial Unicode MS"/>
        </w:rPr>
        <w:t>, Peter, ed. Two Treatises of Government. Cambridge, NY: Cambridge University Press. Sec. 87, 123, 209, 222. ISBN 052135448X.</w:t>
      </w:r>
    </w:p>
  </w:footnote>
  <w:footnote w:id="9">
    <w:p w14:paraId="6133AA0D" w14:textId="77777777" w:rsidR="00D627F3" w:rsidRDefault="00D627F3" w:rsidP="00D627F3">
      <w:pPr>
        <w:pStyle w:val="FootnoteText"/>
      </w:pPr>
      <w:r>
        <w:rPr>
          <w:vertAlign w:val="superscript"/>
        </w:rPr>
        <w:footnoteRef/>
      </w:r>
      <w:r>
        <w:rPr>
          <w:rFonts w:eastAsia="Arial Unicode MS" w:cs="Arial Unicode MS"/>
        </w:rPr>
        <w:t xml:space="preserve"> </w:t>
      </w:r>
      <w:hyperlink r:id="rId2" w:history="1">
        <w:r>
          <w:rPr>
            <w:rStyle w:val="Hyperlink0"/>
            <w:rFonts w:eastAsia="Arial Unicode MS" w:cs="Arial Unicode MS"/>
          </w:rPr>
          <w:t>http://www.oxforddictionaries.com/us/definition/american_english/value</w:t>
        </w:r>
      </w:hyperlink>
    </w:p>
  </w:footnote>
  <w:footnote w:id="10">
    <w:p w14:paraId="160F8F2A" w14:textId="77777777" w:rsidR="00D627F3" w:rsidRDefault="00D627F3" w:rsidP="00D627F3">
      <w:pPr>
        <w:pStyle w:val="FootnoteText"/>
      </w:pPr>
      <w:r>
        <w:rPr>
          <w:vertAlign w:val="superscript"/>
        </w:rPr>
        <w:footnoteRef/>
      </w:r>
      <w:r>
        <w:rPr>
          <w:rFonts w:eastAsia="Arial Unicode MS" w:cs="Arial Unicode MS"/>
        </w:rPr>
        <w:t xml:space="preserve"> </w:t>
      </w:r>
      <w:hyperlink r:id="rId3" w:history="1">
        <w:r>
          <w:rPr>
            <w:rStyle w:val="Hyperlink0"/>
            <w:rFonts w:eastAsia="Arial Unicode MS" w:cs="Arial Unicode MS"/>
          </w:rPr>
          <w:t>http://www.oxforddictionaries.com/us/definition/american_english/priority</w:t>
        </w:r>
      </w:hyperlink>
    </w:p>
  </w:footnote>
  <w:footnote w:id="11">
    <w:p w14:paraId="6DF3FAF2" w14:textId="77777777" w:rsidR="00D627F3" w:rsidRDefault="00D627F3" w:rsidP="00D627F3">
      <w:pPr>
        <w:pStyle w:val="FootnoteText"/>
      </w:pPr>
      <w:r>
        <w:rPr>
          <w:vertAlign w:val="superscript"/>
        </w:rPr>
        <w:footnoteRef/>
      </w:r>
      <w:proofErr w:type="spellStart"/>
      <w:r>
        <w:rPr>
          <w:rFonts w:eastAsia="Arial Unicode MS" w:cs="Arial Unicode MS"/>
        </w:rPr>
        <w:t>Vallentyne</w:t>
      </w:r>
      <w:proofErr w:type="spellEnd"/>
      <w:r>
        <w:rPr>
          <w:rFonts w:eastAsia="Arial Unicode MS" w:cs="Arial Unicode MS"/>
        </w:rPr>
        <w:t>, Peter. "Libertarianism." Stanford University. Stanford University, 05 Sept. 2002. Web. 26 Aug. 2016. &lt;http://plato.stanford.edu/entries/libertarianism/&gt;.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7777777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7E42A2"/>
    <w:multiLevelType w:val="hybridMultilevel"/>
    <w:tmpl w:val="2B9A06F0"/>
    <w:styleLink w:val="Numbered"/>
    <w:lvl w:ilvl="0" w:tplc="9D7AE4B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CA80142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5DCC7F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C3A8A22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EC9A65F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453EEAD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238B77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E3224E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3D229BE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6">
    <w:nsid w:val="74227CF5"/>
    <w:multiLevelType w:val="hybridMultilevel"/>
    <w:tmpl w:val="2B9A06F0"/>
    <w:numStyleLink w:val="Numbered"/>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46D5"/>
    <w:rsid w:val="00027B3D"/>
    <w:rsid w:val="000565DD"/>
    <w:rsid w:val="000603C4"/>
    <w:rsid w:val="00063A85"/>
    <w:rsid w:val="00077E43"/>
    <w:rsid w:val="00081F50"/>
    <w:rsid w:val="000857B5"/>
    <w:rsid w:val="000924FA"/>
    <w:rsid w:val="000950FB"/>
    <w:rsid w:val="000A6047"/>
    <w:rsid w:val="000A6EA9"/>
    <w:rsid w:val="000E3E5D"/>
    <w:rsid w:val="000E47A7"/>
    <w:rsid w:val="000F345A"/>
    <w:rsid w:val="000F3D61"/>
    <w:rsid w:val="000F5D9F"/>
    <w:rsid w:val="00114199"/>
    <w:rsid w:val="00115B1C"/>
    <w:rsid w:val="001331BE"/>
    <w:rsid w:val="0014669C"/>
    <w:rsid w:val="00181344"/>
    <w:rsid w:val="00186930"/>
    <w:rsid w:val="00191D95"/>
    <w:rsid w:val="001970DC"/>
    <w:rsid w:val="001C7B90"/>
    <w:rsid w:val="001D1B02"/>
    <w:rsid w:val="001D31C1"/>
    <w:rsid w:val="001D3404"/>
    <w:rsid w:val="001D4EEB"/>
    <w:rsid w:val="00203971"/>
    <w:rsid w:val="00206D86"/>
    <w:rsid w:val="00211689"/>
    <w:rsid w:val="00222A6A"/>
    <w:rsid w:val="00226B58"/>
    <w:rsid w:val="00234D35"/>
    <w:rsid w:val="00237A9C"/>
    <w:rsid w:val="002464F3"/>
    <w:rsid w:val="00251EBD"/>
    <w:rsid w:val="00257B02"/>
    <w:rsid w:val="00260C42"/>
    <w:rsid w:val="00274373"/>
    <w:rsid w:val="00276268"/>
    <w:rsid w:val="00280FB9"/>
    <w:rsid w:val="002832BA"/>
    <w:rsid w:val="00285A4B"/>
    <w:rsid w:val="0029082E"/>
    <w:rsid w:val="002A6B97"/>
    <w:rsid w:val="002B030F"/>
    <w:rsid w:val="002C2BD8"/>
    <w:rsid w:val="002C3708"/>
    <w:rsid w:val="002C3B80"/>
    <w:rsid w:val="002C4D57"/>
    <w:rsid w:val="002C7AAB"/>
    <w:rsid w:val="002D1E30"/>
    <w:rsid w:val="002E0E21"/>
    <w:rsid w:val="002E1649"/>
    <w:rsid w:val="00303B6E"/>
    <w:rsid w:val="00311F33"/>
    <w:rsid w:val="00316C3B"/>
    <w:rsid w:val="00330141"/>
    <w:rsid w:val="00335540"/>
    <w:rsid w:val="00351302"/>
    <w:rsid w:val="00351A14"/>
    <w:rsid w:val="003550A7"/>
    <w:rsid w:val="00360E05"/>
    <w:rsid w:val="00372214"/>
    <w:rsid w:val="00377E6D"/>
    <w:rsid w:val="003860D3"/>
    <w:rsid w:val="00392C96"/>
    <w:rsid w:val="00393C9C"/>
    <w:rsid w:val="00394F1E"/>
    <w:rsid w:val="003B2176"/>
    <w:rsid w:val="003B69B3"/>
    <w:rsid w:val="003C2969"/>
    <w:rsid w:val="003C65A7"/>
    <w:rsid w:val="003D34A3"/>
    <w:rsid w:val="003D631A"/>
    <w:rsid w:val="003D6584"/>
    <w:rsid w:val="003D7053"/>
    <w:rsid w:val="003E1625"/>
    <w:rsid w:val="003E649E"/>
    <w:rsid w:val="003F1F7A"/>
    <w:rsid w:val="00403ADC"/>
    <w:rsid w:val="0040462D"/>
    <w:rsid w:val="004118A0"/>
    <w:rsid w:val="00411FCF"/>
    <w:rsid w:val="0042260D"/>
    <w:rsid w:val="0042382C"/>
    <w:rsid w:val="00425919"/>
    <w:rsid w:val="004316DE"/>
    <w:rsid w:val="00440185"/>
    <w:rsid w:val="00443980"/>
    <w:rsid w:val="00444A36"/>
    <w:rsid w:val="00455144"/>
    <w:rsid w:val="00456284"/>
    <w:rsid w:val="00456CE4"/>
    <w:rsid w:val="00457B0A"/>
    <w:rsid w:val="004631C4"/>
    <w:rsid w:val="0046396D"/>
    <w:rsid w:val="004734BF"/>
    <w:rsid w:val="004818DF"/>
    <w:rsid w:val="0049135B"/>
    <w:rsid w:val="00492729"/>
    <w:rsid w:val="004A0251"/>
    <w:rsid w:val="004A262F"/>
    <w:rsid w:val="004A5084"/>
    <w:rsid w:val="004A693A"/>
    <w:rsid w:val="004C2154"/>
    <w:rsid w:val="004C507E"/>
    <w:rsid w:val="004D36AF"/>
    <w:rsid w:val="004E1A98"/>
    <w:rsid w:val="004E2A94"/>
    <w:rsid w:val="004E61FC"/>
    <w:rsid w:val="00513541"/>
    <w:rsid w:val="00513DD7"/>
    <w:rsid w:val="00515199"/>
    <w:rsid w:val="00517404"/>
    <w:rsid w:val="00522123"/>
    <w:rsid w:val="005242B5"/>
    <w:rsid w:val="00555E8F"/>
    <w:rsid w:val="005659DB"/>
    <w:rsid w:val="00570B26"/>
    <w:rsid w:val="00572482"/>
    <w:rsid w:val="005747B0"/>
    <w:rsid w:val="005747E5"/>
    <w:rsid w:val="005918B7"/>
    <w:rsid w:val="005942E9"/>
    <w:rsid w:val="00594FDF"/>
    <w:rsid w:val="00596A98"/>
    <w:rsid w:val="005A1E46"/>
    <w:rsid w:val="005B0721"/>
    <w:rsid w:val="005C0CC1"/>
    <w:rsid w:val="005D0E22"/>
    <w:rsid w:val="005D3312"/>
    <w:rsid w:val="005E7D74"/>
    <w:rsid w:val="005F057A"/>
    <w:rsid w:val="005F53C5"/>
    <w:rsid w:val="005F6A8E"/>
    <w:rsid w:val="006023FE"/>
    <w:rsid w:val="00607E01"/>
    <w:rsid w:val="00607F72"/>
    <w:rsid w:val="00611899"/>
    <w:rsid w:val="006177ED"/>
    <w:rsid w:val="00641121"/>
    <w:rsid w:val="006557B9"/>
    <w:rsid w:val="0066743E"/>
    <w:rsid w:val="006807D7"/>
    <w:rsid w:val="00683F1F"/>
    <w:rsid w:val="00692466"/>
    <w:rsid w:val="00697307"/>
    <w:rsid w:val="006975C5"/>
    <w:rsid w:val="00697F3B"/>
    <w:rsid w:val="006A3DBA"/>
    <w:rsid w:val="006D5E58"/>
    <w:rsid w:val="006D66F7"/>
    <w:rsid w:val="006E25D8"/>
    <w:rsid w:val="006F060A"/>
    <w:rsid w:val="00717E2D"/>
    <w:rsid w:val="0072226B"/>
    <w:rsid w:val="00727205"/>
    <w:rsid w:val="00730E8D"/>
    <w:rsid w:val="00737CDC"/>
    <w:rsid w:val="007405F8"/>
    <w:rsid w:val="00741410"/>
    <w:rsid w:val="00742481"/>
    <w:rsid w:val="00742DD0"/>
    <w:rsid w:val="007434B0"/>
    <w:rsid w:val="00745B66"/>
    <w:rsid w:val="007470F7"/>
    <w:rsid w:val="007529F7"/>
    <w:rsid w:val="00752E16"/>
    <w:rsid w:val="00753527"/>
    <w:rsid w:val="007541E1"/>
    <w:rsid w:val="00762AC8"/>
    <w:rsid w:val="00773DCA"/>
    <w:rsid w:val="00777F95"/>
    <w:rsid w:val="00785A0E"/>
    <w:rsid w:val="00787CA8"/>
    <w:rsid w:val="007949D8"/>
    <w:rsid w:val="007A1BD1"/>
    <w:rsid w:val="007A450F"/>
    <w:rsid w:val="007A6BA8"/>
    <w:rsid w:val="007B3CE2"/>
    <w:rsid w:val="007C1005"/>
    <w:rsid w:val="007C36AD"/>
    <w:rsid w:val="007C4128"/>
    <w:rsid w:val="007D3505"/>
    <w:rsid w:val="007E1DFE"/>
    <w:rsid w:val="007E3205"/>
    <w:rsid w:val="007E3D88"/>
    <w:rsid w:val="007E545E"/>
    <w:rsid w:val="007F5EE4"/>
    <w:rsid w:val="00800671"/>
    <w:rsid w:val="00803101"/>
    <w:rsid w:val="008076A8"/>
    <w:rsid w:val="0080783F"/>
    <w:rsid w:val="008152F7"/>
    <w:rsid w:val="008162EB"/>
    <w:rsid w:val="00826218"/>
    <w:rsid w:val="00826BA2"/>
    <w:rsid w:val="008300AE"/>
    <w:rsid w:val="00831D93"/>
    <w:rsid w:val="008448EE"/>
    <w:rsid w:val="00845D27"/>
    <w:rsid w:val="00846510"/>
    <w:rsid w:val="00850818"/>
    <w:rsid w:val="00857646"/>
    <w:rsid w:val="00861F6A"/>
    <w:rsid w:val="008812B5"/>
    <w:rsid w:val="00881577"/>
    <w:rsid w:val="00882C28"/>
    <w:rsid w:val="008A2AB8"/>
    <w:rsid w:val="008B09F1"/>
    <w:rsid w:val="008B6DA5"/>
    <w:rsid w:val="008B724A"/>
    <w:rsid w:val="008C0259"/>
    <w:rsid w:val="008D2987"/>
    <w:rsid w:val="008D54A0"/>
    <w:rsid w:val="008D71B6"/>
    <w:rsid w:val="008E186F"/>
    <w:rsid w:val="008F65A1"/>
    <w:rsid w:val="008F6ABD"/>
    <w:rsid w:val="008F7D1E"/>
    <w:rsid w:val="00911212"/>
    <w:rsid w:val="00911432"/>
    <w:rsid w:val="0091268F"/>
    <w:rsid w:val="00912F2F"/>
    <w:rsid w:val="009145F1"/>
    <w:rsid w:val="00923D18"/>
    <w:rsid w:val="00934389"/>
    <w:rsid w:val="0093661A"/>
    <w:rsid w:val="00947932"/>
    <w:rsid w:val="00947DAF"/>
    <w:rsid w:val="00963112"/>
    <w:rsid w:val="00965B3C"/>
    <w:rsid w:val="00967ABF"/>
    <w:rsid w:val="0097279F"/>
    <w:rsid w:val="009747CD"/>
    <w:rsid w:val="00975B54"/>
    <w:rsid w:val="00986483"/>
    <w:rsid w:val="009913EA"/>
    <w:rsid w:val="009A468F"/>
    <w:rsid w:val="009D6432"/>
    <w:rsid w:val="009E489D"/>
    <w:rsid w:val="009F0F80"/>
    <w:rsid w:val="009F67BA"/>
    <w:rsid w:val="00A008F2"/>
    <w:rsid w:val="00A03114"/>
    <w:rsid w:val="00A04C2B"/>
    <w:rsid w:val="00A13DEF"/>
    <w:rsid w:val="00A17F1D"/>
    <w:rsid w:val="00A300B7"/>
    <w:rsid w:val="00A31534"/>
    <w:rsid w:val="00A356F9"/>
    <w:rsid w:val="00A369D1"/>
    <w:rsid w:val="00A8370B"/>
    <w:rsid w:val="00A97B04"/>
    <w:rsid w:val="00AA0880"/>
    <w:rsid w:val="00AA5777"/>
    <w:rsid w:val="00AB405F"/>
    <w:rsid w:val="00AB495A"/>
    <w:rsid w:val="00AC42AD"/>
    <w:rsid w:val="00AC448B"/>
    <w:rsid w:val="00AC6B30"/>
    <w:rsid w:val="00AE2949"/>
    <w:rsid w:val="00AE30BF"/>
    <w:rsid w:val="00AF2613"/>
    <w:rsid w:val="00AF326B"/>
    <w:rsid w:val="00AF7042"/>
    <w:rsid w:val="00B02E3A"/>
    <w:rsid w:val="00B1382D"/>
    <w:rsid w:val="00B14219"/>
    <w:rsid w:val="00B21954"/>
    <w:rsid w:val="00B230B2"/>
    <w:rsid w:val="00B2338A"/>
    <w:rsid w:val="00B2342C"/>
    <w:rsid w:val="00B34BFC"/>
    <w:rsid w:val="00B62618"/>
    <w:rsid w:val="00B67DE1"/>
    <w:rsid w:val="00B74DF9"/>
    <w:rsid w:val="00B770DF"/>
    <w:rsid w:val="00B77D5D"/>
    <w:rsid w:val="00B81328"/>
    <w:rsid w:val="00B86787"/>
    <w:rsid w:val="00BA2CA3"/>
    <w:rsid w:val="00BB03FC"/>
    <w:rsid w:val="00BB49B2"/>
    <w:rsid w:val="00BC29AD"/>
    <w:rsid w:val="00BE0010"/>
    <w:rsid w:val="00BE1325"/>
    <w:rsid w:val="00BE29BF"/>
    <w:rsid w:val="00BE5492"/>
    <w:rsid w:val="00C05F01"/>
    <w:rsid w:val="00C0663C"/>
    <w:rsid w:val="00C11A24"/>
    <w:rsid w:val="00C1797F"/>
    <w:rsid w:val="00C17DF8"/>
    <w:rsid w:val="00C17E13"/>
    <w:rsid w:val="00C22DDF"/>
    <w:rsid w:val="00C30732"/>
    <w:rsid w:val="00C41B51"/>
    <w:rsid w:val="00C425FC"/>
    <w:rsid w:val="00C42FE2"/>
    <w:rsid w:val="00C44749"/>
    <w:rsid w:val="00C44EDB"/>
    <w:rsid w:val="00C4566C"/>
    <w:rsid w:val="00C46698"/>
    <w:rsid w:val="00C528EB"/>
    <w:rsid w:val="00C626F1"/>
    <w:rsid w:val="00C7506F"/>
    <w:rsid w:val="00C82E24"/>
    <w:rsid w:val="00C878EA"/>
    <w:rsid w:val="00C91F2A"/>
    <w:rsid w:val="00CA2C13"/>
    <w:rsid w:val="00CA7B41"/>
    <w:rsid w:val="00CC2D3B"/>
    <w:rsid w:val="00CC72B5"/>
    <w:rsid w:val="00CD34E2"/>
    <w:rsid w:val="00CD5519"/>
    <w:rsid w:val="00CE48EA"/>
    <w:rsid w:val="00CE6499"/>
    <w:rsid w:val="00CE78BF"/>
    <w:rsid w:val="00D11623"/>
    <w:rsid w:val="00D13A26"/>
    <w:rsid w:val="00D307E2"/>
    <w:rsid w:val="00D364B2"/>
    <w:rsid w:val="00D4542A"/>
    <w:rsid w:val="00D50BD0"/>
    <w:rsid w:val="00D56880"/>
    <w:rsid w:val="00D625EF"/>
    <w:rsid w:val="00D627F3"/>
    <w:rsid w:val="00D715B0"/>
    <w:rsid w:val="00D72166"/>
    <w:rsid w:val="00D775E4"/>
    <w:rsid w:val="00D81955"/>
    <w:rsid w:val="00D90620"/>
    <w:rsid w:val="00D966A3"/>
    <w:rsid w:val="00D9708F"/>
    <w:rsid w:val="00DA7A05"/>
    <w:rsid w:val="00DB1DF5"/>
    <w:rsid w:val="00DB6680"/>
    <w:rsid w:val="00DC6BAC"/>
    <w:rsid w:val="00DD22F9"/>
    <w:rsid w:val="00DD53FB"/>
    <w:rsid w:val="00DE7EF7"/>
    <w:rsid w:val="00DF1C26"/>
    <w:rsid w:val="00DF6696"/>
    <w:rsid w:val="00E03E83"/>
    <w:rsid w:val="00E11D94"/>
    <w:rsid w:val="00E22AC5"/>
    <w:rsid w:val="00E245E5"/>
    <w:rsid w:val="00E27294"/>
    <w:rsid w:val="00E27A26"/>
    <w:rsid w:val="00E431EA"/>
    <w:rsid w:val="00E50F3D"/>
    <w:rsid w:val="00E65EB9"/>
    <w:rsid w:val="00E66481"/>
    <w:rsid w:val="00E81CD7"/>
    <w:rsid w:val="00E8361D"/>
    <w:rsid w:val="00E83D61"/>
    <w:rsid w:val="00E9019F"/>
    <w:rsid w:val="00EA13A1"/>
    <w:rsid w:val="00EA1BEA"/>
    <w:rsid w:val="00EB4676"/>
    <w:rsid w:val="00EB675B"/>
    <w:rsid w:val="00EE2AD1"/>
    <w:rsid w:val="00F05AEF"/>
    <w:rsid w:val="00F12E5C"/>
    <w:rsid w:val="00F23556"/>
    <w:rsid w:val="00F439DA"/>
    <w:rsid w:val="00F43ECA"/>
    <w:rsid w:val="00F82F1A"/>
    <w:rsid w:val="00F90305"/>
    <w:rsid w:val="00F93E85"/>
    <w:rsid w:val="00FA22AE"/>
    <w:rsid w:val="00FA692D"/>
    <w:rsid w:val="00FB2B92"/>
    <w:rsid w:val="00FB375C"/>
    <w:rsid w:val="00FB38C9"/>
    <w:rsid w:val="00FB3BA8"/>
    <w:rsid w:val="00FC326B"/>
    <w:rsid w:val="00FC6EBB"/>
    <w:rsid w:val="00FD68A0"/>
    <w:rsid w:val="00FD74D3"/>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3D6584"/>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3D6584"/>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customStyle="1" w:styleId="Body">
    <w:name w:val="Body"/>
    <w:rsid w:val="00D627F3"/>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Heading">
    <w:name w:val="Heading"/>
    <w:next w:val="Body"/>
    <w:rsid w:val="003D6584"/>
    <w:pPr>
      <w:keepNext/>
      <w:keepLines/>
      <w:pBdr>
        <w:top w:val="nil"/>
        <w:left w:val="nil"/>
        <w:bottom w:val="nil"/>
        <w:right w:val="nil"/>
        <w:between w:val="nil"/>
        <w:bar w:val="nil"/>
      </w:pBdr>
      <w:spacing w:before="240" w:after="120" w:line="288" w:lineRule="auto"/>
      <w:outlineLvl w:val="0"/>
    </w:pPr>
    <w:rPr>
      <w:rFonts w:ascii="Times New Roman" w:eastAsia="Arial Unicode MS" w:hAnsi="Times New Roman" w:cs="Arial Unicode MS"/>
      <w:b/>
      <w:bCs/>
      <w:color w:val="000000"/>
      <w:sz w:val="32"/>
      <w:szCs w:val="32"/>
      <w:u w:color="000000"/>
      <w:bdr w:val="nil"/>
    </w:rPr>
  </w:style>
  <w:style w:type="character" w:customStyle="1" w:styleId="Hyperlink0">
    <w:name w:val="Hyperlink.0"/>
    <w:basedOn w:val="Hyperlink"/>
    <w:rsid w:val="00D627F3"/>
    <w:rPr>
      <w:rFonts w:ascii="Times New Roman" w:eastAsia="Times New Roman" w:hAnsi="Times New Roman" w:cs="Times New Roman"/>
      <w:b w:val="0"/>
      <w:bCs w:val="0"/>
      <w:i w:val="0"/>
      <w:iCs w:val="0"/>
      <w:color w:val="7F7F7F"/>
      <w:u w:val="single" w:color="7F7F7F"/>
    </w:rPr>
  </w:style>
  <w:style w:type="numbering" w:customStyle="1" w:styleId="Numbered">
    <w:name w:val="Numbered"/>
    <w:rsid w:val="00D627F3"/>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merriam-webster.com/dictionary/social%20contract" TargetMode="External"/><Relationship Id="rId2" Type="http://schemas.openxmlformats.org/officeDocument/2006/relationships/hyperlink" Target="http://www.oxforddictionaries.com/us/definition/american_english/value" TargetMode="External"/><Relationship Id="rId3" Type="http://schemas.openxmlformats.org/officeDocument/2006/relationships/hyperlink" Target="http://www.oxforddictionaries.com/us/definition/american_english/prio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7FAA040-D506-6F49-A1F4-8152530F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1622</Words>
  <Characters>9252</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4</cp:revision>
  <dcterms:created xsi:type="dcterms:W3CDTF">2016-08-27T09:49:00Z</dcterms:created>
  <dcterms:modified xsi:type="dcterms:W3CDTF">2016-08-27T10:29:00Z</dcterms:modified>
</cp:coreProperties>
</file>